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BC4B" w14:textId="6EE6DFBA" w:rsidR="00DC0B5D" w:rsidRDefault="00101DD2" w:rsidP="00DC0B5D">
      <w:pPr>
        <w:spacing w:before="100" w:beforeAutospacing="1" w:after="100" w:afterAutospacing="1" w:line="259" w:lineRule="auto"/>
        <w:jc w:val="both"/>
        <w:rPr>
          <w:rFonts w:ascii="Arial" w:hAnsi="Arial" w:cs="Arial"/>
          <w:bCs/>
          <w:color w:val="3DCD58"/>
          <w:sz w:val="16"/>
          <w:szCs w:val="16"/>
        </w:rPr>
      </w:pPr>
      <w:r w:rsidRPr="00101DD2">
        <w:rPr>
          <w:rFonts w:ascii="Arial" w:hAnsi="Arial" w:cs="Arial"/>
          <w:bCs/>
          <w:color w:val="3DCD58"/>
          <w:sz w:val="40"/>
          <w:szCs w:val="36"/>
        </w:rPr>
        <w:t>Schneider Electric představuje 800VDC napájecí systémy pro novou generaci GPU NVIDIA</w:t>
      </w:r>
    </w:p>
    <w:p w14:paraId="75C33EA3" w14:textId="3315B2E3" w:rsidR="00765CF4" w:rsidRDefault="00683731" w:rsidP="00B974FE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Fonts w:ascii="Arial Rounded MT Std" w:eastAsia="MS Mincho" w:hAnsi="Arial Rounded MT Std"/>
          <w:b/>
          <w:sz w:val="20"/>
          <w:szCs w:val="20"/>
          <w:lang w:eastAsia="en-US"/>
        </w:rPr>
        <w:t>Praha</w:t>
      </w:r>
      <w:r w:rsidR="00DE0EF5" w:rsidRPr="00EA4814">
        <w:rPr>
          <w:rFonts w:ascii="Arial" w:hAnsi="Arial" w:cs="Arial"/>
          <w:b/>
          <w:bCs/>
          <w:sz w:val="20"/>
          <w:szCs w:val="20"/>
        </w:rPr>
        <w:t xml:space="preserve">, </w:t>
      </w:r>
      <w:r w:rsidR="00B974FE">
        <w:rPr>
          <w:rFonts w:ascii="Arial" w:hAnsi="Arial" w:cs="Arial"/>
          <w:b/>
          <w:bCs/>
          <w:sz w:val="20"/>
          <w:szCs w:val="20"/>
        </w:rPr>
        <w:t>30. října</w:t>
      </w:r>
      <w:r w:rsidRPr="00EA4814">
        <w:rPr>
          <w:rFonts w:ascii="Arial" w:hAnsi="Arial" w:cs="Arial"/>
          <w:b/>
          <w:bCs/>
          <w:sz w:val="20"/>
          <w:szCs w:val="20"/>
        </w:rPr>
        <w:t xml:space="preserve"> </w:t>
      </w:r>
      <w:r w:rsidR="00B51FAD" w:rsidRPr="00EA4814">
        <w:rPr>
          <w:rFonts w:ascii="Arial" w:hAnsi="Arial" w:cs="Arial"/>
          <w:b/>
          <w:bCs/>
          <w:sz w:val="20"/>
          <w:szCs w:val="20"/>
        </w:rPr>
        <w:t>202</w:t>
      </w:r>
      <w:r w:rsidR="00F025AE" w:rsidRPr="00EA4814">
        <w:rPr>
          <w:rFonts w:ascii="Arial" w:hAnsi="Arial" w:cs="Arial"/>
          <w:b/>
          <w:bCs/>
          <w:sz w:val="20"/>
          <w:szCs w:val="20"/>
        </w:rPr>
        <w:t>5</w:t>
      </w:r>
      <w:r w:rsidR="0055368A" w:rsidRPr="00EA48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3841" w:rsidRPr="00EA4814">
        <w:rPr>
          <w:rFonts w:ascii="Arial" w:hAnsi="Arial" w:cs="Arial"/>
          <w:sz w:val="20"/>
          <w:szCs w:val="20"/>
        </w:rPr>
        <w:t>–</w:t>
      </w:r>
      <w:r w:rsidRPr="00EA4814">
        <w:rPr>
          <w:rFonts w:ascii="Arial" w:hAnsi="Arial" w:cs="Arial"/>
          <w:sz w:val="20"/>
          <w:szCs w:val="20"/>
        </w:rPr>
        <w:t xml:space="preserve"> 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Společnost </w:t>
      </w:r>
      <w:hyperlink r:id="rId11" w:history="1">
        <w:r w:rsidR="00D938F9" w:rsidRPr="00EA4814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Schneider Electric</w:t>
        </w:r>
      </w:hyperlink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, lídr v digitální transformaci řízení energií a automatizace, </w:t>
      </w:r>
      <w:r w:rsidR="00101DD2" w:rsidRPr="00101DD2">
        <w:rPr>
          <w:rFonts w:ascii="Arial" w:hAnsi="Arial" w:cs="Arial"/>
          <w:sz w:val="20"/>
          <w:szCs w:val="20"/>
          <w:shd w:val="clear" w:color="auto" w:fill="FFFFFF"/>
        </w:rPr>
        <w:t>potvrdila své odhodlání podpořit přechod průmyslu na 800VDC napájecí architekturu. Ta představuje klíčový krok k podpoře nové generace vysoce výkonných rackových systémů v datových centrech, zejména v souvislosti s rozvojem AI a HPC.</w:t>
      </w:r>
    </w:p>
    <w:p w14:paraId="5571C7EA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Schneider Electric aktivně reaguje na rostoucí požadavky na výkon a energetickou účinnost moderních datových center. Firma vyvíjí řešení, která propojují konverzi, ochranu a měření energie do jednoho uceleného systému. Takový přístup umožňuje zajistit, že napájecí infrastruktura bude nejen vysoce účinná, ale zároveň bezpečná, spolehlivá a připravená na další rozšiřování.</w:t>
      </w:r>
    </w:p>
    <w:p w14:paraId="090F30E8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6D3E00B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24A4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„Přechod na 800VDC představuje přirozený krok vpřed v době, kdy výpočetní hustota datových center neustále roste,“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ádí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Jim </w:t>
      </w:r>
      <w:proofErr w:type="spellStart"/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Simonelli</w:t>
      </w:r>
      <w:proofErr w:type="spellEnd"/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technický ředitel divize datových center společnosti Schneider Electric. </w:t>
      </w:r>
      <w:r w:rsidRPr="00224A4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„Naším cílem je pomoci zákazníkům tuto změnu zvládnout bezpečně a s jistotou. Naše řešení vznikají s ohledem na celý napájecí ekosystém – od elektrické sítě až po samotné servery – a jsou navržená tak, aby fungovala spolehlivě, předvídatelně a bez rizik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224A4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pokračuje.</w:t>
      </w:r>
    </w:p>
    <w:p w14:paraId="2946BC78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9B92375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Tradiční 54voltové rozvody, používané v dnešních datových centrech, byly původně určeny pro racky s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výkonem v řádu kilowattů. Ty však nedokážou zvládnout nové generace výpočetně náročných systémů, které brzy dosáhnou výkonu v řádu megawattů. Proto Schneider Electric spolupracuje se společností </w:t>
      </w:r>
      <w:r w:rsidRPr="00224A47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NVIDIA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na vývoji nového 800VDC modulu označovaného jako </w:t>
      </w:r>
      <w:r w:rsidRPr="00224A47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sidecar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který dokáže napájet racky s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výkonem až </w:t>
      </w:r>
      <w:r w:rsidRPr="00224A47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1,2 MW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je určen pro budoucí generace GPU NVIDIA a akcelerované výpočetní infrastruktury.</w:t>
      </w:r>
    </w:p>
    <w:p w14:paraId="6E920D80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41CEB12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Sidecar převádí střídavé napětí, které přichází do datového centra, na stejnosměrné napětí 800 V. Díky tomu umožňuje bezpečné a efektivní napájení racků s vysokým výkonem, a to s minimálními náklady na materiál i infrastrukturu. Řešení je navrženo tak, aby dosahovalo maximální účinnosti, nabízelo modulární konverzní jednotky a zahrnovalo i integrované úložiště energie pro krátkodobé zálohování a vyrovnávání zátěže. Další výhodou je možnost </w:t>
      </w:r>
      <w:r w:rsidRPr="00224A47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Live Swap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která umožňuje bezpečnou údržbu a výměnu modulů bez nutnosti přerušení provozu.</w:t>
      </w:r>
    </w:p>
    <w:p w14:paraId="1473103F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D42FA5C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Na rozdíl od přístupů, které se soustředí jen na jednotlivé komponenty, Schneider Electric navrhuje celý systém jako celek. Tím dosahuje předvídatelného výkonu, snadnější údržby, lepší škálovatelnosti a vyšší provozní efektivity. Tento systémový přístup je zásadní pro nasazování moderních rackových systémů s vysokou hustotou výpočtů, které vyžadují přesné řízení napájení a maximální spolehlivost.</w:t>
      </w:r>
    </w:p>
    <w:p w14:paraId="2D8B5B1D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6332A25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Schneider Electric staví na desítkách let zkušeností s bezpečností a spolehlivostí napájecích řešení. Každé nové zařízení prochází rozsáhlým modelováním, simulacemi i laboratorními testy v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certifikovaném prostředí, aby bylo zajištěno, že v reálném provozu obstojí i v těch nejnáročnějších podmínkách. Součástí těchto testů jsou například detailní analýzy zkratových proudů a elektrických oblouků, které umožňují navrhnout systém s maximálním důrazem na bezpečnost. Díky tomu mohou zákazníci nasazovat 800VDC systémy s plnou důvěrou v jejich spolehlivost, odolnost a bezpečný provoz.</w:t>
      </w:r>
    </w:p>
    <w:p w14:paraId="03E4B9A4" w14:textId="77777777" w:rsidR="009D1DE9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8B28724" w14:textId="77777777" w:rsidR="009D1DE9" w:rsidRPr="002E2376" w:rsidRDefault="009D1DE9" w:rsidP="009D1DE9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Zapojením do </w:t>
      </w:r>
      <w:r w:rsidRPr="00224A47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ekosystému NVIDIA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se Schneider Electric připojuje k širšímu průmyslovému trendu směrem k novým architekturám napájení, které budou tvořit základ infrastruktury pro umělou inteligenci příští generace.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224A4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„Škálovatelné napájecí architektury jsou základem moderní AI infrastruktury, která spojuje maximální výkon s energetickou efektivitou,“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říká</w:t>
      </w:r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Dion</w:t>
      </w:r>
      <w:proofErr w:type="spellEnd"/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Harris</w:t>
      </w:r>
      <w:proofErr w:type="spellEnd"/>
      <w:r w:rsidRPr="0022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senior ředitel pro HPC, cloud a AI infrastrukturu společnosti NVIDIA. </w:t>
      </w:r>
      <w:r w:rsidRPr="002E2376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„NVIDIA a Schneider Electric staví na dlouholeté spolupráci a společně vyvíjejí pokročilé 800VDC systémy, které budou pohánět aplikace formující nadcházející průmyslovou revoluci založenou na umělé inteligenci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2E2376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dodává.</w:t>
      </w:r>
    </w:p>
    <w:p w14:paraId="6336B5A7" w14:textId="77777777" w:rsidR="009D1DE9" w:rsidRDefault="009D1DE9" w:rsidP="00B974FE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</w:p>
    <w:p w14:paraId="5E46F24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lastRenderedPageBreak/>
        <w:t>O společnosti Schneider Electric</w:t>
      </w:r>
    </w:p>
    <w:p w14:paraId="62CA03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7AF47686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0F73E1A7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6BA47797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1F8CD757" w14:textId="77777777" w:rsidR="00D938F9" w:rsidRPr="00EA4814" w:rsidRDefault="00D938F9" w:rsidP="004815BF"/>
    <w:p w14:paraId="792DE544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2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70C15889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446E8345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3114CCE" wp14:editId="59BC5B6B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2A0BF6E2" wp14:editId="280AFBDE">
            <wp:extent cx="241300" cy="241300"/>
            <wp:effectExtent l="0" t="0" r="6350" b="6350"/>
            <wp:docPr id="1836977819" name="Obrázek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86D3D3A" wp14:editId="21D2C226">
            <wp:extent cx="241300" cy="241300"/>
            <wp:effectExtent l="0" t="0" r="6350" b="6350"/>
            <wp:docPr id="1182720145" name="Obrázek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2D6EEABF" wp14:editId="13306B0B">
            <wp:extent cx="241300" cy="241300"/>
            <wp:effectExtent l="0" t="0" r="6350" b="6350"/>
            <wp:docPr id="448659326" name="Obrázek 1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3874DAD" wp14:editId="38BBC708">
            <wp:extent cx="234950" cy="234950"/>
            <wp:effectExtent l="0" t="0" r="0" b="0"/>
            <wp:docPr id="727291655" name="Obrázek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16CF47F0" wp14:editId="29078759">
            <wp:extent cx="234950" cy="234950"/>
            <wp:effectExtent l="0" t="0" r="0" b="0"/>
            <wp:docPr id="890240197" name="Obrázek 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BF83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6E994C7E" w14:textId="7C4206F8" w:rsidR="0055368A" w:rsidRPr="003B7263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5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6" w:history="1">
        <w:proofErr w:type="spellStart"/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  <w:proofErr w:type="spellEnd"/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55368A" w:rsidRPr="003B7263" w:rsidSect="00076B1F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CBC4" w14:textId="77777777" w:rsidR="007E553C" w:rsidRPr="00EA4814" w:rsidRDefault="007E553C">
      <w:r w:rsidRPr="00EA4814">
        <w:separator/>
      </w:r>
    </w:p>
  </w:endnote>
  <w:endnote w:type="continuationSeparator" w:id="0">
    <w:p w14:paraId="7A4B3685" w14:textId="77777777" w:rsidR="007E553C" w:rsidRPr="00EA4814" w:rsidRDefault="007E553C">
      <w:r w:rsidRPr="00EA4814">
        <w:continuationSeparator/>
      </w:r>
    </w:p>
  </w:endnote>
  <w:endnote w:type="continuationNotice" w:id="1">
    <w:p w14:paraId="2D821112" w14:textId="77777777" w:rsidR="007E553C" w:rsidRPr="00EA4814" w:rsidRDefault="007E55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21A7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55393A78" wp14:editId="0F84F6D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8EDCFD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93A78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398EDCFD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141FFAD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7AFF845A" wp14:editId="37856B81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010E38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7BFA5AEC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4E7F1016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147A029E" wp14:editId="27C31734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65F57D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15878D09" w14:textId="77777777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Crest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Communication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7A029E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4F65F57D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15878D09" w14:textId="77777777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Crest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Communication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98FBAC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Name,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36FBF3F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PR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agency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for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Name;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79E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Anthime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Caprioli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953B" w14:textId="77777777" w:rsidR="007E553C" w:rsidRPr="00EA4814" w:rsidRDefault="007E553C">
      <w:r w:rsidRPr="00EA4814">
        <w:separator/>
      </w:r>
    </w:p>
  </w:footnote>
  <w:footnote w:type="continuationSeparator" w:id="0">
    <w:p w14:paraId="45262C2F" w14:textId="77777777" w:rsidR="007E553C" w:rsidRPr="00EA4814" w:rsidRDefault="007E553C">
      <w:r w:rsidRPr="00EA4814">
        <w:continuationSeparator/>
      </w:r>
    </w:p>
  </w:footnote>
  <w:footnote w:type="continuationNotice" w:id="1">
    <w:p w14:paraId="352046E0" w14:textId="77777777" w:rsidR="007E553C" w:rsidRPr="00EA4814" w:rsidRDefault="007E55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7E62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470A893" wp14:editId="60FFED23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CC055BB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79A5E8DB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E093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25DFB63" wp14:editId="6A81C21B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</w:t>
    </w:r>
    <w:proofErr w:type="spellEnd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Release</w:t>
    </w:r>
    <w:proofErr w:type="spellEnd"/>
  </w:p>
  <w:p w14:paraId="353F53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9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6"/>
  </w:num>
  <w:num w:numId="3" w16cid:durableId="523324700">
    <w:abstractNumId w:val="9"/>
  </w:num>
  <w:num w:numId="4" w16cid:durableId="1894462052">
    <w:abstractNumId w:val="11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7"/>
  </w:num>
  <w:num w:numId="8" w16cid:durableId="743335346">
    <w:abstractNumId w:val="12"/>
  </w:num>
  <w:num w:numId="9" w16cid:durableId="1861427816">
    <w:abstractNumId w:val="18"/>
  </w:num>
  <w:num w:numId="10" w16cid:durableId="330564119">
    <w:abstractNumId w:val="0"/>
  </w:num>
  <w:num w:numId="11" w16cid:durableId="1802839757">
    <w:abstractNumId w:val="10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3"/>
  </w:num>
  <w:num w:numId="17" w16cid:durableId="323749794">
    <w:abstractNumId w:val="1"/>
  </w:num>
  <w:num w:numId="18" w16cid:durableId="1057554449">
    <w:abstractNumId w:val="14"/>
  </w:num>
  <w:num w:numId="19" w16cid:durableId="1154252419">
    <w:abstractNumId w:val="8"/>
  </w:num>
  <w:num w:numId="20" w16cid:durableId="1604797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25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5986"/>
    <w:rsid w:val="000615C8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210C"/>
    <w:rsid w:val="000F6EAE"/>
    <w:rsid w:val="000F74DF"/>
    <w:rsid w:val="00101DD2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81E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13F7"/>
    <w:rsid w:val="0016219B"/>
    <w:rsid w:val="00163BF9"/>
    <w:rsid w:val="001655FD"/>
    <w:rsid w:val="00177494"/>
    <w:rsid w:val="00180411"/>
    <w:rsid w:val="00181821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7323"/>
    <w:rsid w:val="001B0CD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E02"/>
    <w:rsid w:val="001F070B"/>
    <w:rsid w:val="001F3841"/>
    <w:rsid w:val="001F4379"/>
    <w:rsid w:val="001F6335"/>
    <w:rsid w:val="001F6669"/>
    <w:rsid w:val="0020071E"/>
    <w:rsid w:val="00202678"/>
    <w:rsid w:val="00202AF8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347CF"/>
    <w:rsid w:val="00235B99"/>
    <w:rsid w:val="00237793"/>
    <w:rsid w:val="00237E27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70272"/>
    <w:rsid w:val="00270AD8"/>
    <w:rsid w:val="00272355"/>
    <w:rsid w:val="00275EBD"/>
    <w:rsid w:val="002778BB"/>
    <w:rsid w:val="00277985"/>
    <w:rsid w:val="0028248F"/>
    <w:rsid w:val="00284F53"/>
    <w:rsid w:val="00290807"/>
    <w:rsid w:val="002952C8"/>
    <w:rsid w:val="002A32F4"/>
    <w:rsid w:val="002A4E51"/>
    <w:rsid w:val="002A50B6"/>
    <w:rsid w:val="002A79A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D0304"/>
    <w:rsid w:val="002D1C08"/>
    <w:rsid w:val="002D25B6"/>
    <w:rsid w:val="002E1AF1"/>
    <w:rsid w:val="002E4F64"/>
    <w:rsid w:val="002E7BF3"/>
    <w:rsid w:val="002F16EF"/>
    <w:rsid w:val="002F37AB"/>
    <w:rsid w:val="002F7A3A"/>
    <w:rsid w:val="003038D4"/>
    <w:rsid w:val="003041C3"/>
    <w:rsid w:val="00311C1C"/>
    <w:rsid w:val="00312C78"/>
    <w:rsid w:val="00312DF8"/>
    <w:rsid w:val="00314464"/>
    <w:rsid w:val="00321F25"/>
    <w:rsid w:val="003247B4"/>
    <w:rsid w:val="003257A2"/>
    <w:rsid w:val="00326E18"/>
    <w:rsid w:val="0032739F"/>
    <w:rsid w:val="003314C2"/>
    <w:rsid w:val="00333B62"/>
    <w:rsid w:val="00340A33"/>
    <w:rsid w:val="0034102E"/>
    <w:rsid w:val="0034130D"/>
    <w:rsid w:val="00342BD7"/>
    <w:rsid w:val="00345009"/>
    <w:rsid w:val="00345075"/>
    <w:rsid w:val="003521E8"/>
    <w:rsid w:val="00356423"/>
    <w:rsid w:val="00356FFA"/>
    <w:rsid w:val="0036020C"/>
    <w:rsid w:val="003633F8"/>
    <w:rsid w:val="0036359B"/>
    <w:rsid w:val="00365B6E"/>
    <w:rsid w:val="0037168F"/>
    <w:rsid w:val="00374FDC"/>
    <w:rsid w:val="00375232"/>
    <w:rsid w:val="003825CE"/>
    <w:rsid w:val="003837A0"/>
    <w:rsid w:val="003840F5"/>
    <w:rsid w:val="003847A6"/>
    <w:rsid w:val="00384DFA"/>
    <w:rsid w:val="00387469"/>
    <w:rsid w:val="00390EDD"/>
    <w:rsid w:val="00393495"/>
    <w:rsid w:val="003A02C5"/>
    <w:rsid w:val="003B120B"/>
    <w:rsid w:val="003B7263"/>
    <w:rsid w:val="003C110B"/>
    <w:rsid w:val="003C1682"/>
    <w:rsid w:val="003C2645"/>
    <w:rsid w:val="003C4469"/>
    <w:rsid w:val="003D304B"/>
    <w:rsid w:val="003D33BD"/>
    <w:rsid w:val="003D77DA"/>
    <w:rsid w:val="003E14F6"/>
    <w:rsid w:val="003E1B0D"/>
    <w:rsid w:val="003E43CD"/>
    <w:rsid w:val="003F1B14"/>
    <w:rsid w:val="003F42D4"/>
    <w:rsid w:val="004007A6"/>
    <w:rsid w:val="00403FDC"/>
    <w:rsid w:val="004077A2"/>
    <w:rsid w:val="00407EA6"/>
    <w:rsid w:val="00423F8A"/>
    <w:rsid w:val="004256AC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9451B"/>
    <w:rsid w:val="004A1180"/>
    <w:rsid w:val="004A1246"/>
    <w:rsid w:val="004A65F0"/>
    <w:rsid w:val="004B1812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E10D2"/>
    <w:rsid w:val="004E2733"/>
    <w:rsid w:val="00500266"/>
    <w:rsid w:val="00501F48"/>
    <w:rsid w:val="00503046"/>
    <w:rsid w:val="0050475E"/>
    <w:rsid w:val="00522945"/>
    <w:rsid w:val="00523106"/>
    <w:rsid w:val="005237C4"/>
    <w:rsid w:val="00524185"/>
    <w:rsid w:val="00525106"/>
    <w:rsid w:val="00533E8C"/>
    <w:rsid w:val="00535BA4"/>
    <w:rsid w:val="00541CAA"/>
    <w:rsid w:val="00542562"/>
    <w:rsid w:val="0054407D"/>
    <w:rsid w:val="00544C52"/>
    <w:rsid w:val="0055287D"/>
    <w:rsid w:val="0055368A"/>
    <w:rsid w:val="00555136"/>
    <w:rsid w:val="005574F1"/>
    <w:rsid w:val="00563193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5AF5"/>
    <w:rsid w:val="005C6636"/>
    <w:rsid w:val="005E1D6D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40325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6F23"/>
    <w:rsid w:val="006E1443"/>
    <w:rsid w:val="006F07F9"/>
    <w:rsid w:val="006F2CC0"/>
    <w:rsid w:val="006F36DD"/>
    <w:rsid w:val="006F4E51"/>
    <w:rsid w:val="006F5BA9"/>
    <w:rsid w:val="006F6E6C"/>
    <w:rsid w:val="00700E07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DE2"/>
    <w:rsid w:val="0073237C"/>
    <w:rsid w:val="007333C2"/>
    <w:rsid w:val="00734D4D"/>
    <w:rsid w:val="00737CFB"/>
    <w:rsid w:val="00737E23"/>
    <w:rsid w:val="0075149B"/>
    <w:rsid w:val="0075452B"/>
    <w:rsid w:val="00755BAE"/>
    <w:rsid w:val="0075718E"/>
    <w:rsid w:val="007628CF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7E90"/>
    <w:rsid w:val="007D3E82"/>
    <w:rsid w:val="007D4090"/>
    <w:rsid w:val="007D4974"/>
    <w:rsid w:val="007D606C"/>
    <w:rsid w:val="007E553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440F"/>
    <w:rsid w:val="00884A41"/>
    <w:rsid w:val="00890FBA"/>
    <w:rsid w:val="00893300"/>
    <w:rsid w:val="008A228E"/>
    <w:rsid w:val="008A7740"/>
    <w:rsid w:val="008B18BF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32EA"/>
    <w:rsid w:val="008D3CAC"/>
    <w:rsid w:val="008D5BED"/>
    <w:rsid w:val="008D7A58"/>
    <w:rsid w:val="008D7B58"/>
    <w:rsid w:val="008E3306"/>
    <w:rsid w:val="008E375D"/>
    <w:rsid w:val="008E42D4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12041"/>
    <w:rsid w:val="00916234"/>
    <w:rsid w:val="00917D8E"/>
    <w:rsid w:val="00917F14"/>
    <w:rsid w:val="009204F1"/>
    <w:rsid w:val="0092487D"/>
    <w:rsid w:val="00937244"/>
    <w:rsid w:val="00937355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56F2"/>
    <w:rsid w:val="009860F1"/>
    <w:rsid w:val="0099124C"/>
    <w:rsid w:val="0099394E"/>
    <w:rsid w:val="009A13C3"/>
    <w:rsid w:val="009A17C5"/>
    <w:rsid w:val="009A38B1"/>
    <w:rsid w:val="009A38F7"/>
    <w:rsid w:val="009B2351"/>
    <w:rsid w:val="009B4FE7"/>
    <w:rsid w:val="009B56DD"/>
    <w:rsid w:val="009B598E"/>
    <w:rsid w:val="009B7023"/>
    <w:rsid w:val="009C3BD7"/>
    <w:rsid w:val="009C53D7"/>
    <w:rsid w:val="009D01BD"/>
    <w:rsid w:val="009D059F"/>
    <w:rsid w:val="009D1DE9"/>
    <w:rsid w:val="009D3691"/>
    <w:rsid w:val="009D4D9B"/>
    <w:rsid w:val="009D6CF7"/>
    <w:rsid w:val="009E07CF"/>
    <w:rsid w:val="009E0AA9"/>
    <w:rsid w:val="009E114B"/>
    <w:rsid w:val="009E1A4A"/>
    <w:rsid w:val="009E5366"/>
    <w:rsid w:val="009E5422"/>
    <w:rsid w:val="009E5DF3"/>
    <w:rsid w:val="009F33B7"/>
    <w:rsid w:val="00A00690"/>
    <w:rsid w:val="00A06FA4"/>
    <w:rsid w:val="00A11792"/>
    <w:rsid w:val="00A131A0"/>
    <w:rsid w:val="00A15373"/>
    <w:rsid w:val="00A1603C"/>
    <w:rsid w:val="00A16489"/>
    <w:rsid w:val="00A23B3B"/>
    <w:rsid w:val="00A23FCB"/>
    <w:rsid w:val="00A2758E"/>
    <w:rsid w:val="00A33A7E"/>
    <w:rsid w:val="00A36608"/>
    <w:rsid w:val="00A414A8"/>
    <w:rsid w:val="00A4244E"/>
    <w:rsid w:val="00A442A2"/>
    <w:rsid w:val="00A509B2"/>
    <w:rsid w:val="00A52C25"/>
    <w:rsid w:val="00A55B63"/>
    <w:rsid w:val="00A56680"/>
    <w:rsid w:val="00A60EA0"/>
    <w:rsid w:val="00A61CB1"/>
    <w:rsid w:val="00A66F27"/>
    <w:rsid w:val="00A704FC"/>
    <w:rsid w:val="00A74915"/>
    <w:rsid w:val="00A74F43"/>
    <w:rsid w:val="00A7528F"/>
    <w:rsid w:val="00A75539"/>
    <w:rsid w:val="00A76139"/>
    <w:rsid w:val="00A838A0"/>
    <w:rsid w:val="00A84BF5"/>
    <w:rsid w:val="00A92056"/>
    <w:rsid w:val="00A94028"/>
    <w:rsid w:val="00A946ED"/>
    <w:rsid w:val="00A95815"/>
    <w:rsid w:val="00A96759"/>
    <w:rsid w:val="00A96847"/>
    <w:rsid w:val="00A96F9C"/>
    <w:rsid w:val="00AA294C"/>
    <w:rsid w:val="00AA3634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B03"/>
    <w:rsid w:val="00AE0511"/>
    <w:rsid w:val="00AE21FD"/>
    <w:rsid w:val="00AE3E6B"/>
    <w:rsid w:val="00AE526D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974FE"/>
    <w:rsid w:val="00BA0B45"/>
    <w:rsid w:val="00BA261D"/>
    <w:rsid w:val="00BA64D4"/>
    <w:rsid w:val="00BB4603"/>
    <w:rsid w:val="00BC29D9"/>
    <w:rsid w:val="00BC590E"/>
    <w:rsid w:val="00BD14CA"/>
    <w:rsid w:val="00BD180E"/>
    <w:rsid w:val="00BD30C0"/>
    <w:rsid w:val="00BD537C"/>
    <w:rsid w:val="00BE3E97"/>
    <w:rsid w:val="00BE48BA"/>
    <w:rsid w:val="00BE66B6"/>
    <w:rsid w:val="00BF115D"/>
    <w:rsid w:val="00C02215"/>
    <w:rsid w:val="00C02529"/>
    <w:rsid w:val="00C02C9D"/>
    <w:rsid w:val="00C05649"/>
    <w:rsid w:val="00C10F81"/>
    <w:rsid w:val="00C1137A"/>
    <w:rsid w:val="00C1138C"/>
    <w:rsid w:val="00C126BE"/>
    <w:rsid w:val="00C13F95"/>
    <w:rsid w:val="00C1485D"/>
    <w:rsid w:val="00C1496B"/>
    <w:rsid w:val="00C1525E"/>
    <w:rsid w:val="00C162E9"/>
    <w:rsid w:val="00C17EAE"/>
    <w:rsid w:val="00C20671"/>
    <w:rsid w:val="00C25F67"/>
    <w:rsid w:val="00C27B68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3F94"/>
    <w:rsid w:val="00C65A12"/>
    <w:rsid w:val="00C73887"/>
    <w:rsid w:val="00C765F9"/>
    <w:rsid w:val="00C8013C"/>
    <w:rsid w:val="00C85B62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79B4"/>
    <w:rsid w:val="00CF7C8E"/>
    <w:rsid w:val="00D0002B"/>
    <w:rsid w:val="00D0139C"/>
    <w:rsid w:val="00D018E9"/>
    <w:rsid w:val="00D0200C"/>
    <w:rsid w:val="00D027F3"/>
    <w:rsid w:val="00D03929"/>
    <w:rsid w:val="00D11D2E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51586"/>
    <w:rsid w:val="00D53D2B"/>
    <w:rsid w:val="00D56634"/>
    <w:rsid w:val="00D66360"/>
    <w:rsid w:val="00D66671"/>
    <w:rsid w:val="00D66D36"/>
    <w:rsid w:val="00D75A66"/>
    <w:rsid w:val="00D76179"/>
    <w:rsid w:val="00D76827"/>
    <w:rsid w:val="00D84E62"/>
    <w:rsid w:val="00D9332E"/>
    <w:rsid w:val="00D938AA"/>
    <w:rsid w:val="00D938F9"/>
    <w:rsid w:val="00D94087"/>
    <w:rsid w:val="00D94F71"/>
    <w:rsid w:val="00D969CE"/>
    <w:rsid w:val="00DA1E70"/>
    <w:rsid w:val="00DA2254"/>
    <w:rsid w:val="00DA2917"/>
    <w:rsid w:val="00DA778B"/>
    <w:rsid w:val="00DB1A3B"/>
    <w:rsid w:val="00DB3953"/>
    <w:rsid w:val="00DB3A14"/>
    <w:rsid w:val="00DB5779"/>
    <w:rsid w:val="00DC0B5D"/>
    <w:rsid w:val="00DC0EAC"/>
    <w:rsid w:val="00DC206A"/>
    <w:rsid w:val="00DC22E5"/>
    <w:rsid w:val="00DC4035"/>
    <w:rsid w:val="00DC7545"/>
    <w:rsid w:val="00DD6148"/>
    <w:rsid w:val="00DE0EF5"/>
    <w:rsid w:val="00DE3D07"/>
    <w:rsid w:val="00DE7917"/>
    <w:rsid w:val="00DF2E71"/>
    <w:rsid w:val="00DF532D"/>
    <w:rsid w:val="00E05A25"/>
    <w:rsid w:val="00E140E2"/>
    <w:rsid w:val="00E150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A09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BC3"/>
    <w:rsid w:val="00F025AE"/>
    <w:rsid w:val="00F029AE"/>
    <w:rsid w:val="00F031AD"/>
    <w:rsid w:val="00F04D08"/>
    <w:rsid w:val="00F11B92"/>
    <w:rsid w:val="00F14FE0"/>
    <w:rsid w:val="00F151CA"/>
    <w:rsid w:val="00F27496"/>
    <w:rsid w:val="00F3083B"/>
    <w:rsid w:val="00F36DE7"/>
    <w:rsid w:val="00F426EB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6953"/>
    <w:rsid w:val="00F679C7"/>
    <w:rsid w:val="00F71726"/>
    <w:rsid w:val="00F73C5D"/>
    <w:rsid w:val="00F7490D"/>
    <w:rsid w:val="00F77659"/>
    <w:rsid w:val="00F8399A"/>
    <w:rsid w:val="00F874DD"/>
    <w:rsid w:val="00F90891"/>
    <w:rsid w:val="00F91025"/>
    <w:rsid w:val="00F974A2"/>
    <w:rsid w:val="00FA090F"/>
    <w:rsid w:val="00FA31B3"/>
    <w:rsid w:val="00FA7675"/>
    <w:rsid w:val="00FB52F6"/>
    <w:rsid w:val="00FB664D"/>
    <w:rsid w:val="00FB6ADD"/>
    <w:rsid w:val="00FC1128"/>
    <w:rsid w:val="00FC1832"/>
    <w:rsid w:val="00FC1C69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23E8F"/>
  <w15:docId w15:val="{94D42D9A-428E-4E0C-9CAA-C5FA5C58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SchneiderElec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schneiderelectric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hyperlink" Target="https://www.linkedin.com/company/schneider-electric" TargetMode="External"/><Relationship Id="rId25" Type="http://schemas.openxmlformats.org/officeDocument/2006/relationships/hyperlink" Target="https://www.se.com/ww/en/insight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chneiderElectricCZ/?brand_redir=597372713700290" TargetMode="External"/><Relationship Id="rId23" Type="http://schemas.openxmlformats.org/officeDocument/2006/relationships/hyperlink" Target="http://blog.schneider-electric.com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@SchneiderElectricCZ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552dc7400f5cf506fb8bbdd5302e8723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2477944521592b870ead7b83d7c2668e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E3AE8C34-C91C-4DEE-BA79-DA5473BB1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TZ_SE_sablona_rijen2025.dotm</Template>
  <TotalTime>20</TotalTime>
  <Pages>2</Pages>
  <Words>728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cp:lastModifiedBy>Jakub Knapp</cp:lastModifiedBy>
  <cp:revision>6</cp:revision>
  <dcterms:created xsi:type="dcterms:W3CDTF">2025-10-29T09:42:00Z</dcterms:created>
  <dcterms:modified xsi:type="dcterms:W3CDTF">2025-10-29T10:02:00Z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